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Sala kommunfullmäktige</w:t>
      </w:r>
    </w:p>
    <w:p>
      <w:pPr>
        <w:pStyle w:val="Heading1"/>
      </w:pPr>
      <w:r>
        <w:t xml:space="preserve">Förenkla tillstånd och sänk avgifter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Sala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Sala rankas 142 i Svenskt Näringslivs företagsklimat 2024. Långa handläggningstider och höga avgifter för bygglov och serveringstillstånd nämns som hinder av lokala företagare i enkäter.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Sala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tidsgaranti på max 6 veckor för bygglov under 300 kvm.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sänka avgifterna för serveringstillstånd med 25 %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digital ansökningsportal med e-tjänster för samtliga tillstånd.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tillsätta en näringslivspilot som vägleder nya företagare.</w:t>
      </w:r>
    </w:p>
    <w:p>
      <w:pPr>
        <w:spacing w:before="360"/>
      </w:pPr>
    </w:p>
    <w:p>
      <w:r>
        <w:t xml:space="preserve">Sala,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Sala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2026-07-14T01:09:42.348Z</dcterms:created>
  <dcterms:modified xsi:type="dcterms:W3CDTF">2026-07-14T01:09:42.348Z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